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576"/>
      </w:tblGrid>
      <w:tr w:rsidR="00F128DF" w:rsidRPr="00F128DF">
        <w:trPr>
          <w:tblCellSpacing w:w="0" w:type="dxa"/>
        </w:trPr>
        <w:tc>
          <w:tcPr>
            <w:tcW w:w="1000" w:type="pct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43000" cy="466725"/>
                  <wp:effectExtent l="19050" t="0" r="0" b="0"/>
                  <wp:docPr id="1" name="Image 1" descr="http://www.jacques-denis.com/images/menu_lt_f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acques-denis.com/images/menu_lt_f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43000" cy="466725"/>
                  <wp:effectExtent l="19050" t="0" r="0" b="0"/>
                  <wp:docPr id="2" name="Image 2" descr="http://www.jacques-denis.com/images/menu_lt_es_fr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acques-denis.com/images/menu_lt_es_fr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43000" cy="1123950"/>
                  <wp:effectExtent l="19050" t="0" r="0" b="0"/>
                  <wp:docPr id="3" name="Image 3" descr="http://www.jacques-denis.com/images/menu_l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acques-denis.com/images/menu_l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43000" cy="2438400"/>
                  <wp:effectExtent l="19050" t="0" r="0" b="0"/>
                  <wp:docPr id="4" name="Image 4" descr="http://www.jacques-denis.com/images/menu_l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jacques-denis.com/images/menu_l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43000" cy="1695450"/>
                  <wp:effectExtent l="19050" t="0" r="0" b="0"/>
                  <wp:docPr id="5" name="Image 5" descr="http://www.jacques-denis.com/images/menu_l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acques-denis.com/images/menu_l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128DF" w:rsidRPr="00F128DF" w:rsidRDefault="00F128DF" w:rsidP="00F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8DF">
              <w:rPr>
                <w:rFonts w:ascii="Arial" w:eastAsia="Times New Roman" w:hAnsi="Arial" w:cs="Arial"/>
                <w:color w:val="A1B600"/>
                <w:sz w:val="24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noProof/>
                <w:color w:val="A1B600"/>
                <w:sz w:val="24"/>
                <w:szCs w:val="24"/>
                <w:lang w:eastAsia="fr-FR"/>
              </w:rPr>
              <w:drawing>
                <wp:inline distT="0" distB="0" distL="0" distR="0">
                  <wp:extent cx="190500" cy="180975"/>
                  <wp:effectExtent l="19050" t="0" r="0" b="0"/>
                  <wp:docPr id="6" name="Image 6" descr="http://www.jacques-denis.com/images/i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jacques-denis.com/images/im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Arial" w:eastAsia="Times New Roman" w:hAnsi="Arial" w:cs="Arial"/>
                <w:color w:val="A1B600"/>
                <w:sz w:val="24"/>
                <w:szCs w:val="24"/>
                <w:lang w:eastAsia="fr-FR"/>
              </w:rPr>
              <w:t>Tolérance relative à la puissance des verres</w:t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128DF">
              <w:rPr>
                <w:rFonts w:ascii="Arial" w:eastAsia="Times New Roman" w:hAnsi="Arial" w:cs="Arial"/>
                <w:color w:val="333333"/>
                <w:sz w:val="18"/>
                <w:lang w:eastAsia="fr-FR"/>
              </w:rPr>
              <w:t>Les tolérances s’appliquent pour les puissances frontales arrière et doivent être mesurées :</w:t>
            </w:r>
          </w:p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8DF">
              <w:rPr>
                <w:rFonts w:ascii="Times New Roman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au centre optique du verre pour les </w:t>
            </w:r>
            <w:proofErr w:type="spellStart"/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unifocaux</w:t>
            </w:r>
            <w:proofErr w:type="spellEnd"/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</w:p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8DF">
              <w:rPr>
                <w:rFonts w:ascii="Times New Roman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au centre de vision de loin pour les bifocaux,</w:t>
            </w:r>
          </w:p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8DF">
              <w:rPr>
                <w:rFonts w:ascii="Times New Roman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au cercle de contrôle de vision de loin pour les progressifs.</w:t>
            </w:r>
          </w:p>
          <w:p w:rsidR="00F128DF" w:rsidRPr="00F128DF" w:rsidRDefault="00F128DF" w:rsidP="00F128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F128DF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La tolérance relative à la puissance est déterminée par la puissance absolue la plus élevée.</w:t>
            </w:r>
          </w:p>
          <w:p w:rsidR="00F128DF" w:rsidRPr="00F128DF" w:rsidRDefault="00F128DF" w:rsidP="00F128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381500" cy="2676525"/>
                  <wp:effectExtent l="19050" t="0" r="0" b="0"/>
                  <wp:docPr id="7" name="Image 7" descr="http://www.jacques-denis.com/images/tech_p1_r8_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acques-denis.com/images/tech_p1_r8_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381500" cy="2676525"/>
                  <wp:effectExtent l="19050" t="0" r="0" b="0"/>
                  <wp:docPr id="8" name="Image 8" descr="http://www.jacques-denis.com/images/tech_p2_r6_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jacques-denis.com/images/tech_p2_r6_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F128DF" w:rsidRPr="00F128DF" w:rsidRDefault="00F128DF" w:rsidP="00F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A1B600"/>
                <w:sz w:val="24"/>
                <w:szCs w:val="24"/>
                <w:lang w:eastAsia="fr-FR"/>
              </w:rPr>
              <w:drawing>
                <wp:inline distT="0" distB="0" distL="0" distR="0">
                  <wp:extent cx="104775" cy="161925"/>
                  <wp:effectExtent l="19050" t="0" r="9525" b="0"/>
                  <wp:docPr id="9" name="Image 9" descr="http://www.jacques-denis.com/images/im_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jacques-denis.com/images/im_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Arial" w:eastAsia="Times New Roman" w:hAnsi="Arial" w:cs="Arial"/>
                <w:color w:val="A1B600"/>
                <w:sz w:val="24"/>
                <w:szCs w:val="24"/>
                <w:lang w:eastAsia="fr-FR"/>
              </w:rPr>
              <w:t>Nos tolérances</w:t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128DF">
              <w:rPr>
                <w:rFonts w:ascii="Arial" w:eastAsia="Times New Roman" w:hAnsi="Arial" w:cs="Arial"/>
                <w:color w:val="333333"/>
                <w:sz w:val="18"/>
                <w:lang w:eastAsia="fr-FR"/>
              </w:rPr>
              <w:t>Celle de la Réglementation Européenne</w:t>
            </w:r>
          </w:p>
          <w:p w:rsidR="00F128DF" w:rsidRPr="00F128DF" w:rsidRDefault="00F128DF" w:rsidP="00F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8DF">
              <w:rPr>
                <w:rFonts w:ascii="Arial" w:eastAsia="Times New Roman" w:hAnsi="Arial" w:cs="Arial"/>
                <w:color w:val="A1B600"/>
                <w:sz w:val="24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noProof/>
                <w:color w:val="A1B600"/>
                <w:sz w:val="24"/>
                <w:szCs w:val="24"/>
                <w:lang w:eastAsia="fr-FR"/>
              </w:rPr>
              <w:drawing>
                <wp:inline distT="0" distB="0" distL="0" distR="0">
                  <wp:extent cx="190500" cy="180975"/>
                  <wp:effectExtent l="19050" t="0" r="0" b="0"/>
                  <wp:docPr id="10" name="Image 10" descr="http://www.jacques-denis.com/images/im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jacques-denis.com/images/im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Arial" w:eastAsia="Times New Roman" w:hAnsi="Arial" w:cs="Arial"/>
                <w:color w:val="A1B600"/>
                <w:sz w:val="24"/>
                <w:szCs w:val="24"/>
                <w:lang w:eastAsia="fr-FR"/>
              </w:rPr>
              <w:t>Tolérances relatives à la direction de l’axe du cylindre</w:t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5191125" cy="742950"/>
                  <wp:effectExtent l="19050" t="0" r="9525" b="0"/>
                  <wp:docPr id="11" name="Image 11" descr="http://www.jacques-denis.com/images/tech_p3_r6_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jacques-denis.com/images/tech_p3_r6_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8DF" w:rsidRPr="00F128DF" w:rsidRDefault="00F128DF" w:rsidP="00F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A1B600"/>
                <w:sz w:val="24"/>
                <w:szCs w:val="24"/>
                <w:lang w:eastAsia="fr-FR"/>
              </w:rPr>
              <w:drawing>
                <wp:inline distT="0" distB="0" distL="0" distR="0">
                  <wp:extent cx="104775" cy="161925"/>
                  <wp:effectExtent l="19050" t="0" r="9525" b="0"/>
                  <wp:docPr id="12" name="Image 12" descr="http://www.jacques-denis.com/images/im_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jacques-denis.com/images/im_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Arial" w:eastAsia="Times New Roman" w:hAnsi="Arial" w:cs="Arial"/>
                <w:color w:val="A1B600"/>
                <w:sz w:val="24"/>
                <w:szCs w:val="24"/>
                <w:lang w:eastAsia="fr-FR"/>
              </w:rPr>
              <w:t>Nos tolérances</w:t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857875" cy="752475"/>
                  <wp:effectExtent l="19050" t="0" r="9525" b="0"/>
                  <wp:docPr id="13" name="Image 13" descr="http://www.jacques-denis.com/images/tech_r9_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jacques-denis.com/images/tech_r9_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8DF" w:rsidRPr="00F128DF" w:rsidRDefault="00F128DF" w:rsidP="00F128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8DF">
              <w:rPr>
                <w:rFonts w:ascii="Arial" w:eastAsia="Times New Roman" w:hAnsi="Arial" w:cs="Arial"/>
                <w:color w:val="A1B600"/>
                <w:sz w:val="24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noProof/>
                <w:color w:val="A1B600"/>
                <w:sz w:val="24"/>
                <w:szCs w:val="24"/>
                <w:lang w:eastAsia="fr-FR"/>
              </w:rPr>
              <w:drawing>
                <wp:inline distT="0" distB="0" distL="0" distR="0">
                  <wp:extent cx="190500" cy="180975"/>
                  <wp:effectExtent l="19050" t="0" r="0" b="0"/>
                  <wp:docPr id="14" name="Image 14" descr="http://www.jacques-denis.com/images/im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jacques-denis.com/images/im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Arial" w:eastAsia="Times New Roman" w:hAnsi="Arial" w:cs="Arial"/>
                <w:color w:val="A1B600"/>
                <w:sz w:val="24"/>
                <w:szCs w:val="24"/>
                <w:lang w:eastAsia="fr-FR"/>
              </w:rPr>
              <w:t>Tolérances relatives à la puissance de l‘addition pour les verres multifocaux</w:t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067175" cy="733425"/>
                  <wp:effectExtent l="19050" t="0" r="9525" b="0"/>
                  <wp:docPr id="15" name="Image 15" descr="http://www.jacques-denis.com/images/tech_p3_r8_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jacques-denis.com/images/tech_p3_r8_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8DF" w:rsidRPr="00F128DF" w:rsidRDefault="00F128DF" w:rsidP="00F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A1B600"/>
                <w:sz w:val="24"/>
                <w:szCs w:val="24"/>
                <w:lang w:eastAsia="fr-FR"/>
              </w:rPr>
              <w:drawing>
                <wp:inline distT="0" distB="0" distL="0" distR="0">
                  <wp:extent cx="104775" cy="161925"/>
                  <wp:effectExtent l="19050" t="0" r="9525" b="0"/>
                  <wp:docPr id="16" name="Image 16" descr="http://www.jacques-denis.com/images/im_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jacques-denis.com/images/im_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Arial" w:eastAsia="Times New Roman" w:hAnsi="Arial" w:cs="Arial"/>
                <w:color w:val="A1B600"/>
                <w:sz w:val="24"/>
                <w:szCs w:val="24"/>
                <w:lang w:eastAsia="fr-FR"/>
              </w:rPr>
              <w:t>Nos tolérances</w:t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128DF">
              <w:rPr>
                <w:rFonts w:ascii="Arial" w:eastAsia="Times New Roman" w:hAnsi="Arial" w:cs="Arial"/>
                <w:color w:val="333333"/>
                <w:sz w:val="18"/>
                <w:lang w:eastAsia="fr-FR"/>
              </w:rPr>
              <w:t>Celle de la Réglementation Européenne</w:t>
            </w:r>
          </w:p>
          <w:p w:rsidR="00F128DF" w:rsidRPr="00F128DF" w:rsidRDefault="00F128DF" w:rsidP="00F128D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lang w:eastAsia="fr-FR"/>
              </w:rPr>
            </w:pPr>
            <w:r w:rsidRPr="00F128DF">
              <w:rPr>
                <w:rFonts w:ascii="Arial" w:eastAsia="Times New Roman" w:hAnsi="Arial" w:cs="Arial"/>
                <w:color w:val="A1B600"/>
                <w:sz w:val="24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noProof/>
                <w:color w:val="A1B600"/>
                <w:sz w:val="24"/>
                <w:szCs w:val="24"/>
                <w:lang w:eastAsia="fr-FR"/>
              </w:rPr>
              <w:drawing>
                <wp:inline distT="0" distB="0" distL="0" distR="0">
                  <wp:extent cx="190500" cy="180975"/>
                  <wp:effectExtent l="19050" t="0" r="0" b="0"/>
                  <wp:docPr id="17" name="Image 17" descr="http://www.jacques-denis.com/images/im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jacques-denis.com/images/im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Arial" w:eastAsia="Times New Roman" w:hAnsi="Arial" w:cs="Arial"/>
                <w:color w:val="A1B600"/>
                <w:sz w:val="24"/>
                <w:szCs w:val="24"/>
                <w:lang w:eastAsia="fr-FR"/>
              </w:rPr>
              <w:t>Tolérances relatives au centrage optique et à la puissance prismatique</w:t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128DF">
              <w:rPr>
                <w:rFonts w:ascii="Arial" w:eastAsia="Times New Roman" w:hAnsi="Arial" w:cs="Arial"/>
                <w:color w:val="333333"/>
                <w:sz w:val="18"/>
                <w:lang w:eastAsia="fr-FR"/>
              </w:rPr>
              <w:t>La précision du centrage optique et la puissance prismatique doivent être mesurées :</w:t>
            </w:r>
          </w:p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lang w:eastAsia="fr-FR"/>
              </w:rPr>
            </w:pPr>
            <w:r w:rsidRPr="00F128DF">
              <w:rPr>
                <w:rFonts w:ascii="Arial" w:eastAsia="Times New Roman" w:hAnsi="Symbol" w:cs="Arial"/>
                <w:color w:val="333333"/>
                <w:sz w:val="18"/>
                <w:szCs w:val="18"/>
                <w:lang w:eastAsia="fr-FR"/>
              </w:rPr>
              <w:t></w:t>
            </w:r>
            <w:r w:rsidRPr="00F128DF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 </w:t>
            </w:r>
            <w:r w:rsidRPr="00F128DF">
              <w:rPr>
                <w:rFonts w:ascii="Arial" w:eastAsia="Times New Roman" w:hAnsi="Arial" w:cs="Arial"/>
                <w:color w:val="333333"/>
                <w:sz w:val="18"/>
                <w:lang w:eastAsia="fr-FR"/>
              </w:rPr>
              <w:t xml:space="preserve">au centre géométrique du verre pour les </w:t>
            </w:r>
            <w:proofErr w:type="spellStart"/>
            <w:r w:rsidRPr="00F128DF">
              <w:rPr>
                <w:rFonts w:ascii="Arial" w:eastAsia="Times New Roman" w:hAnsi="Arial" w:cs="Arial"/>
                <w:color w:val="333333"/>
                <w:sz w:val="18"/>
                <w:lang w:eastAsia="fr-FR"/>
              </w:rPr>
              <w:t>unifocaux</w:t>
            </w:r>
            <w:proofErr w:type="spellEnd"/>
            <w:r w:rsidRPr="00F128DF">
              <w:rPr>
                <w:rFonts w:ascii="Arial" w:eastAsia="Times New Roman" w:hAnsi="Arial" w:cs="Arial"/>
                <w:color w:val="333333"/>
                <w:sz w:val="18"/>
                <w:lang w:eastAsia="fr-FR"/>
              </w:rPr>
              <w:t>,</w:t>
            </w:r>
          </w:p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lang w:eastAsia="fr-FR"/>
              </w:rPr>
            </w:pPr>
            <w:r w:rsidRPr="00F128DF">
              <w:rPr>
                <w:rFonts w:ascii="Arial" w:eastAsia="Times New Roman" w:hAnsi="Symbol" w:cs="Arial"/>
                <w:color w:val="333333"/>
                <w:sz w:val="18"/>
                <w:szCs w:val="18"/>
                <w:lang w:eastAsia="fr-FR"/>
              </w:rPr>
              <w:t></w:t>
            </w:r>
            <w:r w:rsidRPr="00F128DF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 </w:t>
            </w:r>
            <w:r w:rsidRPr="00F128DF">
              <w:rPr>
                <w:rFonts w:ascii="Arial" w:eastAsia="Times New Roman" w:hAnsi="Arial" w:cs="Arial"/>
                <w:color w:val="333333"/>
                <w:sz w:val="18"/>
                <w:lang w:eastAsia="fr-FR"/>
              </w:rPr>
              <w:t>au centre de vision de loin pour les bifocaux,</w:t>
            </w:r>
          </w:p>
          <w:p w:rsidR="00F128DF" w:rsidRPr="00F128DF" w:rsidRDefault="00F128DF" w:rsidP="00F128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8DF">
              <w:rPr>
                <w:rFonts w:ascii="Arial" w:eastAsia="Times New Roman" w:hAnsi="Symbol" w:cs="Arial"/>
                <w:color w:val="333333"/>
                <w:sz w:val="18"/>
                <w:szCs w:val="18"/>
                <w:lang w:eastAsia="fr-FR"/>
              </w:rPr>
              <w:t></w:t>
            </w:r>
            <w:r w:rsidRPr="00F128DF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 </w:t>
            </w:r>
            <w:r w:rsidRPr="00F128DF">
              <w:rPr>
                <w:rFonts w:ascii="Arial" w:eastAsia="Times New Roman" w:hAnsi="Arial" w:cs="Arial"/>
                <w:color w:val="333333"/>
                <w:sz w:val="18"/>
                <w:lang w:eastAsia="fr-FR"/>
              </w:rPr>
              <w:t>au point de référence du prisme pour les progressifs.</w:t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448300" cy="1600200"/>
                  <wp:effectExtent l="19050" t="0" r="0" b="0"/>
                  <wp:docPr id="18" name="Image 18" descr="http://www.jacques-denis.com/images/tech_p4_r8_c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jacques-denis.com/images/tech_p4_r8_c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8DF" w:rsidRPr="00F128DF" w:rsidRDefault="00F128DF" w:rsidP="00F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A1B600"/>
                <w:sz w:val="24"/>
                <w:szCs w:val="24"/>
                <w:lang w:eastAsia="fr-FR"/>
              </w:rPr>
              <w:drawing>
                <wp:inline distT="0" distB="0" distL="0" distR="0">
                  <wp:extent cx="104775" cy="161925"/>
                  <wp:effectExtent l="19050" t="0" r="9525" b="0"/>
                  <wp:docPr id="19" name="Image 19" descr="http://www.jacques-denis.com/images/im_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jacques-denis.com/images/im_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DF">
              <w:rPr>
                <w:rFonts w:ascii="Arial" w:eastAsia="Times New Roman" w:hAnsi="Arial" w:cs="Arial"/>
                <w:color w:val="A1B600"/>
                <w:sz w:val="24"/>
                <w:szCs w:val="24"/>
                <w:lang w:eastAsia="fr-FR"/>
              </w:rPr>
              <w:t>Nos tolérances</w:t>
            </w:r>
            <w:r w:rsidRPr="00F128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4933950" cy="1381125"/>
                  <wp:effectExtent l="19050" t="0" r="0" b="0"/>
                  <wp:docPr id="20" name="Image 20" descr="http://www.jacques-denis.com/images/tech_r13_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jacques-denis.com/images/tech_r13_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C60" w:rsidRDefault="00803C60"/>
    <w:sectPr w:rsidR="00803C60" w:rsidSect="0080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DF"/>
    <w:rsid w:val="001E0505"/>
    <w:rsid w:val="00211225"/>
    <w:rsid w:val="002C5463"/>
    <w:rsid w:val="00467412"/>
    <w:rsid w:val="00803C60"/>
    <w:rsid w:val="009205B4"/>
    <w:rsid w:val="00A44E72"/>
    <w:rsid w:val="00EB6205"/>
    <w:rsid w:val="00F1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3">
    <w:name w:val="style13"/>
    <w:basedOn w:val="Normal"/>
    <w:rsid w:val="00F128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F1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1">
    <w:name w:val="style41"/>
    <w:basedOn w:val="Policepardfaut"/>
    <w:rsid w:val="00F128DF"/>
    <w:rPr>
      <w:rFonts w:ascii="Arial" w:hAnsi="Arial" w:cs="Arial" w:hint="default"/>
      <w:color w:val="A1B600"/>
    </w:rPr>
  </w:style>
  <w:style w:type="character" w:customStyle="1" w:styleId="style131">
    <w:name w:val="style131"/>
    <w:basedOn w:val="Policepardfaut"/>
    <w:rsid w:val="00F128DF"/>
    <w:rPr>
      <w:rFonts w:ascii="Arial" w:hAnsi="Arial" w:cs="Arial" w:hint="default"/>
      <w:color w:val="333333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3">
    <w:name w:val="style13"/>
    <w:basedOn w:val="Normal"/>
    <w:rsid w:val="00F128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F1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1">
    <w:name w:val="style41"/>
    <w:basedOn w:val="Policepardfaut"/>
    <w:rsid w:val="00F128DF"/>
    <w:rPr>
      <w:rFonts w:ascii="Arial" w:hAnsi="Arial" w:cs="Arial" w:hint="default"/>
      <w:color w:val="A1B600"/>
    </w:rPr>
  </w:style>
  <w:style w:type="character" w:customStyle="1" w:styleId="style131">
    <w:name w:val="style131"/>
    <w:basedOn w:val="Policepardfaut"/>
    <w:rsid w:val="00F128DF"/>
    <w:rPr>
      <w:rFonts w:ascii="Arial" w:hAnsi="Arial" w:cs="Arial" w:hint="default"/>
      <w:color w:val="333333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poste05</cp:lastModifiedBy>
  <cp:revision>2</cp:revision>
  <dcterms:created xsi:type="dcterms:W3CDTF">2021-04-10T11:59:00Z</dcterms:created>
  <dcterms:modified xsi:type="dcterms:W3CDTF">2021-04-10T11:59:00Z</dcterms:modified>
</cp:coreProperties>
</file>